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E141FE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E141FE">
        <w:rPr>
          <w:sz w:val="24"/>
          <w:szCs w:val="24"/>
        </w:rPr>
        <w:t>Форма 9</w:t>
      </w:r>
    </w:p>
    <w:p w:rsidR="00733CC7" w:rsidRDefault="00733CC7" w:rsidP="00733CC7">
      <w:pPr>
        <w:widowControl w:val="0"/>
        <w:autoSpaceDE w:val="0"/>
        <w:autoSpaceDN w:val="0"/>
        <w:adjustRightInd w:val="0"/>
        <w:jc w:val="both"/>
      </w:pPr>
    </w:p>
    <w:p w:rsidR="00733CC7" w:rsidRPr="00BE1645" w:rsidRDefault="00733CC7" w:rsidP="00733CC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BE1645">
        <w:rPr>
          <w:sz w:val="24"/>
          <w:szCs w:val="24"/>
        </w:rPr>
        <w:t>ОЦЕНКА ЭФФЕКТИВНОСТИ</w:t>
      </w:r>
    </w:p>
    <w:p w:rsidR="00BE1645" w:rsidRPr="00BE1645" w:rsidRDefault="00733CC7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E1645">
        <w:rPr>
          <w:sz w:val="24"/>
          <w:szCs w:val="24"/>
        </w:rPr>
        <w:t xml:space="preserve">реализации </w:t>
      </w:r>
      <w:r w:rsidR="001D7371" w:rsidRPr="00BE1645">
        <w:rPr>
          <w:sz w:val="24"/>
          <w:szCs w:val="24"/>
        </w:rPr>
        <w:t xml:space="preserve">муниципальной программы </w:t>
      </w:r>
      <w:r w:rsidR="005F01ED" w:rsidRPr="00BE1645">
        <w:rPr>
          <w:sz w:val="24"/>
          <w:szCs w:val="24"/>
        </w:rPr>
        <w:t>«Формирование современной городской среды посёлк</w:t>
      </w:r>
      <w:r w:rsidR="00AF0F1C" w:rsidRPr="00BE1645">
        <w:rPr>
          <w:sz w:val="24"/>
          <w:szCs w:val="24"/>
        </w:rPr>
        <w:t>а Балакирево</w:t>
      </w:r>
      <w:r w:rsidR="005F01ED" w:rsidRPr="00BE1645">
        <w:rPr>
          <w:sz w:val="24"/>
          <w:szCs w:val="24"/>
        </w:rPr>
        <w:t xml:space="preserve">» </w:t>
      </w:r>
      <w:r w:rsidR="007D6E35">
        <w:rPr>
          <w:sz w:val="24"/>
          <w:szCs w:val="24"/>
        </w:rPr>
        <w:t>за 2021</w:t>
      </w:r>
      <w:r w:rsidR="00D63337" w:rsidRPr="00BE1645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D63337" w:rsidRPr="00BE1645" w:rsidTr="00D63337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W(х)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К(х)</w:t>
            </w:r>
          </w:p>
        </w:tc>
      </w:tr>
      <w:tr w:rsidR="00D63337" w:rsidRPr="00BE1645" w:rsidTr="00D63337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D63337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</w:t>
            </w:r>
            <w:r w:rsidR="005E48D4" w:rsidRPr="00BE1645">
              <w:rPr>
                <w:sz w:val="24"/>
                <w:szCs w:val="24"/>
              </w:rPr>
              <w:t>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  <w:r w:rsidR="00B17A55"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D63337" w:rsidRPr="00BE1645" w:rsidTr="00D63337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50012A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A87A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</w:t>
            </w:r>
            <w:r w:rsidR="00A12D46">
              <w:rPr>
                <w:sz w:val="24"/>
                <w:szCs w:val="24"/>
              </w:rPr>
              <w:t xml:space="preserve">программы </w:t>
            </w:r>
            <w:r w:rsidR="00A87AF3">
              <w:rPr>
                <w:sz w:val="24"/>
                <w:szCs w:val="24"/>
              </w:rPr>
              <w:t>приоритетам</w:t>
            </w:r>
            <w:r w:rsidRPr="00BE1645">
              <w:rPr>
                <w:sz w:val="24"/>
                <w:szCs w:val="24"/>
              </w:rPr>
              <w:t xml:space="preserve"> социально-экономического развития </w:t>
            </w:r>
            <w:r w:rsidR="005E48D4" w:rsidRPr="00BE1645">
              <w:rPr>
                <w:sz w:val="24"/>
                <w:szCs w:val="24"/>
              </w:rPr>
              <w:t>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A87A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социально-экономического развития </w:t>
            </w:r>
            <w:r w:rsidR="005C5345" w:rsidRPr="00BE1645">
              <w:rPr>
                <w:sz w:val="24"/>
                <w:szCs w:val="24"/>
              </w:rPr>
              <w:t>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D63337" w:rsidRPr="00BE1645" w:rsidTr="0050012A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A87A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соответствует целям и задачам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8A23FE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9239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Привлечение средств из федерального, </w:t>
            </w:r>
            <w:r w:rsidR="00923983">
              <w:rPr>
                <w:sz w:val="24"/>
                <w:szCs w:val="24"/>
              </w:rPr>
              <w:t>областного</w:t>
            </w:r>
            <w:r w:rsidRPr="00BE1645">
              <w:rPr>
                <w:sz w:val="24"/>
                <w:szCs w:val="24"/>
              </w:rPr>
              <w:t xml:space="preserve"> бюджетов и внебюджетных источ</w:t>
            </w:r>
            <w:r w:rsidR="005E48D4" w:rsidRPr="00BE1645">
              <w:rPr>
                <w:sz w:val="24"/>
                <w:szCs w:val="24"/>
              </w:rPr>
              <w:t>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D63337" w:rsidRPr="00BE1645" w:rsidTr="008A23FE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8A23FE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8A23FE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6320B7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F3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1" w:name="Par889"/>
            <w:bookmarkEnd w:id="1"/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</w:t>
            </w:r>
            <w:r w:rsidR="00EE4401" w:rsidRPr="00BE1645">
              <w:rPr>
                <w:sz w:val="24"/>
                <w:szCs w:val="24"/>
              </w:rPr>
              <w:t>за отчетный год</w:t>
            </w:r>
            <w:r w:rsidRPr="00BE1645">
              <w:rPr>
                <w:sz w:val="24"/>
                <w:szCs w:val="24"/>
              </w:rPr>
              <w:t xml:space="preserve"> (соотношение фактических </w:t>
            </w:r>
          </w:p>
          <w:p w:rsidR="00A87AF3" w:rsidRDefault="00A87AF3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расходов к </w:t>
            </w:r>
            <w:r w:rsidR="00EE4401" w:rsidRPr="00BE1645">
              <w:rPr>
                <w:sz w:val="24"/>
                <w:szCs w:val="24"/>
              </w:rPr>
              <w:t xml:space="preserve">плановым назначениям </w:t>
            </w:r>
            <w:r w:rsidRPr="00BE1645">
              <w:rPr>
                <w:sz w:val="24"/>
                <w:szCs w:val="24"/>
              </w:rPr>
              <w:t xml:space="preserve"> </w:t>
            </w:r>
            <w:r w:rsidR="00EE4401" w:rsidRPr="00BE1645">
              <w:rPr>
                <w:sz w:val="24"/>
                <w:szCs w:val="24"/>
              </w:rPr>
              <w:t>по программе</w:t>
            </w:r>
            <w:r w:rsidRPr="00BE1645">
              <w:rPr>
                <w:sz w:val="24"/>
                <w:szCs w:val="24"/>
              </w:rPr>
              <w:t xml:space="preserve">) - </w:t>
            </w:r>
            <w:r w:rsidR="005E48D4" w:rsidRPr="00BE1645">
              <w:rPr>
                <w:sz w:val="24"/>
                <w:szCs w:val="24"/>
              </w:rPr>
              <w:t>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A87A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</w:t>
            </w:r>
            <w:r w:rsidR="00A87AF3">
              <w:rPr>
                <w:sz w:val="24"/>
                <w:szCs w:val="24"/>
              </w:rPr>
              <w:t xml:space="preserve">ило </w:t>
            </w:r>
            <w:r w:rsidR="005E48D4" w:rsidRPr="00BE1645">
              <w:rPr>
                <w:sz w:val="24"/>
                <w:szCs w:val="24"/>
              </w:rPr>
              <w:t xml:space="preserve">не менее </w:t>
            </w:r>
            <w:r w:rsidRPr="00BE1645">
              <w:rPr>
                <w:sz w:val="24"/>
                <w:szCs w:val="24"/>
              </w:rPr>
              <w:t>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D63337" w:rsidRPr="00BE1645" w:rsidTr="006320B7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</w:t>
            </w:r>
            <w:r w:rsidR="005E48D4" w:rsidRPr="00BE1645">
              <w:rPr>
                <w:sz w:val="24"/>
                <w:szCs w:val="24"/>
              </w:rPr>
              <w:t xml:space="preserve">ечение программы </w:t>
            </w:r>
            <w:r w:rsidR="00A87AF3" w:rsidRPr="00BE1645">
              <w:rPr>
                <w:sz w:val="24"/>
                <w:szCs w:val="24"/>
              </w:rPr>
              <w:t>состав</w:t>
            </w:r>
            <w:r w:rsidR="00A87AF3">
              <w:rPr>
                <w:sz w:val="24"/>
                <w:szCs w:val="24"/>
              </w:rPr>
              <w:t>ило</w:t>
            </w:r>
            <w:r w:rsidR="005E48D4" w:rsidRPr="00BE1645">
              <w:rPr>
                <w:sz w:val="24"/>
                <w:szCs w:val="24"/>
              </w:rPr>
              <w:t xml:space="preserve"> от 50 до 79</w:t>
            </w:r>
            <w:r w:rsidRPr="00BE1645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9E11E1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2" w:name="Par896"/>
            <w:bookmarkEnd w:id="2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F3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</w:p>
          <w:p w:rsidR="00A87AF3" w:rsidRDefault="00A87AF3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87AF3" w:rsidRDefault="00A87AF3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87AF3" w:rsidRDefault="00A87AF3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AE17D9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DB4D1D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</w:t>
            </w:r>
            <w:r w:rsidR="00F76A18" w:rsidRPr="00BE1645">
              <w:rPr>
                <w:sz w:val="24"/>
                <w:szCs w:val="24"/>
              </w:rPr>
              <w:t>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F76A18" w:rsidRPr="00BE1645" w:rsidTr="00AE17D9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DB4D1D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  <w:r w:rsidR="00F76A18" w:rsidRPr="00BE1645">
              <w:rPr>
                <w:sz w:val="24"/>
                <w:szCs w:val="24"/>
              </w:rPr>
              <w:t xml:space="preserve">. Соответствие достигнутых в отчетном году результатов плановым показателям, утвержденным в </w:t>
            </w:r>
            <w:r w:rsidRPr="00BE1645">
              <w:rPr>
                <w:sz w:val="24"/>
                <w:szCs w:val="24"/>
              </w:rPr>
              <w:t xml:space="preserve">муниципальной </w:t>
            </w:r>
            <w:r w:rsidR="00F76A18" w:rsidRPr="00BE1645">
              <w:rPr>
                <w:sz w:val="24"/>
                <w:szCs w:val="24"/>
              </w:rPr>
              <w:t>программе, - 0,</w:t>
            </w: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A18" w:rsidRPr="00BE1645" w:rsidRDefault="00E141FE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08AF" w:rsidRPr="00BE1645" w:rsidTr="00FF7D71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DB4D1D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  <w:r w:rsidR="002A08AF" w:rsidRPr="00BE1645">
              <w:rPr>
                <w:sz w:val="24"/>
                <w:szCs w:val="24"/>
              </w:rPr>
              <w:t>. Наличие бюджетного и социального эффекта от реализации мероприятий муниципальной программы в отчетном году - 0,</w:t>
            </w: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08AF" w:rsidRPr="00BE1645" w:rsidRDefault="00DB4D1D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</w:tr>
      <w:tr w:rsidR="002A08AF" w:rsidRPr="00BE1645" w:rsidTr="00FF7D71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08AF" w:rsidRPr="00BE1645" w:rsidTr="00FF7D71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E4401" w:rsidRPr="00BE1645" w:rsidTr="006419B5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401" w:rsidRPr="00BE1645" w:rsidRDefault="00BE1645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  <w:r w:rsidR="00EE4401" w:rsidRPr="00BE1645">
              <w:rPr>
                <w:sz w:val="24"/>
                <w:szCs w:val="24"/>
              </w:rPr>
              <w:t>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EE4401" w:rsidRPr="00BE1645" w:rsidTr="006419B5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08AF" w:rsidRPr="00BE1645" w:rsidTr="00714B83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E141FE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733CC7" w:rsidRPr="00BE1645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BE1645" w:rsidRDefault="002A08AF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E1645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337652" w:rsidRPr="00BE1645">
        <w:rPr>
          <w:sz w:val="24"/>
          <w:szCs w:val="24"/>
        </w:rPr>
        <w:t>«Формирование современной городской среды посёлк</w:t>
      </w:r>
      <w:r w:rsidR="001A733F" w:rsidRPr="00BE1645">
        <w:rPr>
          <w:sz w:val="24"/>
          <w:szCs w:val="24"/>
        </w:rPr>
        <w:t>а Балакирево</w:t>
      </w:r>
      <w:r w:rsidR="00337652" w:rsidRPr="00BE1645">
        <w:rPr>
          <w:sz w:val="24"/>
          <w:szCs w:val="24"/>
        </w:rPr>
        <w:t>»</w:t>
      </w:r>
      <w:r w:rsidR="000E430B" w:rsidRPr="00BE1645">
        <w:rPr>
          <w:sz w:val="24"/>
          <w:szCs w:val="24"/>
        </w:rPr>
        <w:t xml:space="preserve">, </w:t>
      </w:r>
      <w:r w:rsidRPr="00BE1645">
        <w:rPr>
          <w:sz w:val="24"/>
          <w:szCs w:val="24"/>
        </w:rPr>
        <w:t>полученным</w:t>
      </w:r>
      <w:r w:rsidR="00545D96">
        <w:rPr>
          <w:sz w:val="24"/>
          <w:szCs w:val="24"/>
        </w:rPr>
        <w:t xml:space="preserve"> по итогам их выполнения за 2021</w:t>
      </w:r>
      <w:r w:rsidRPr="00BE1645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BE1645">
        <w:rPr>
          <w:sz w:val="24"/>
          <w:szCs w:val="24"/>
        </w:rPr>
        <w:t xml:space="preserve">показателю </w:t>
      </w:r>
      <w:r w:rsidR="00E141FE">
        <w:rPr>
          <w:sz w:val="24"/>
          <w:szCs w:val="24"/>
        </w:rPr>
        <w:t>10</w:t>
      </w:r>
      <w:r w:rsidR="00BE1645">
        <w:rPr>
          <w:sz w:val="24"/>
          <w:szCs w:val="24"/>
        </w:rPr>
        <w:t xml:space="preserve"> баллов</w:t>
      </w:r>
      <w:r w:rsidRPr="00BE1645">
        <w:rPr>
          <w:sz w:val="24"/>
          <w:szCs w:val="24"/>
        </w:rPr>
        <w:t>.</w:t>
      </w:r>
    </w:p>
    <w:p w:rsidR="00886606" w:rsidRPr="00BE1645" w:rsidRDefault="00886606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37652" w:rsidRPr="00BE1645" w:rsidRDefault="00337652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BE1645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E1645">
        <w:rPr>
          <w:sz w:val="24"/>
          <w:szCs w:val="24"/>
        </w:rPr>
        <w:t xml:space="preserve">Заведующий финансовым отделом                         </w:t>
      </w:r>
      <w:r w:rsidR="00E9516E">
        <w:rPr>
          <w:sz w:val="24"/>
          <w:szCs w:val="24"/>
        </w:rPr>
        <w:t xml:space="preserve">                       </w:t>
      </w:r>
      <w:r w:rsidRPr="00BE1645">
        <w:rPr>
          <w:sz w:val="24"/>
          <w:szCs w:val="24"/>
        </w:rPr>
        <w:t>Е.А.Галкова</w:t>
      </w:r>
    </w:p>
    <w:sectPr w:rsidR="00953320" w:rsidRPr="00BE1645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D86" w:rsidRDefault="00D26D86" w:rsidP="004E056D">
      <w:r>
        <w:separator/>
      </w:r>
    </w:p>
  </w:endnote>
  <w:endnote w:type="continuationSeparator" w:id="1">
    <w:p w:rsidR="00D26D86" w:rsidRDefault="00D26D86" w:rsidP="004E0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D86" w:rsidRDefault="00D26D86" w:rsidP="004E056D">
      <w:r>
        <w:separator/>
      </w:r>
    </w:p>
  </w:footnote>
  <w:footnote w:type="continuationSeparator" w:id="1">
    <w:p w:rsidR="00D26D86" w:rsidRDefault="00D26D86" w:rsidP="004E05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733CC7"/>
    <w:rsid w:val="000E430B"/>
    <w:rsid w:val="000F328A"/>
    <w:rsid w:val="001A733F"/>
    <w:rsid w:val="001C4BB8"/>
    <w:rsid w:val="001D7371"/>
    <w:rsid w:val="001E7708"/>
    <w:rsid w:val="0020235E"/>
    <w:rsid w:val="00207D23"/>
    <w:rsid w:val="00243566"/>
    <w:rsid w:val="002532AE"/>
    <w:rsid w:val="00257A0F"/>
    <w:rsid w:val="0028773E"/>
    <w:rsid w:val="002A08AF"/>
    <w:rsid w:val="002C3DD9"/>
    <w:rsid w:val="003115F5"/>
    <w:rsid w:val="00337652"/>
    <w:rsid w:val="00391ED7"/>
    <w:rsid w:val="00395085"/>
    <w:rsid w:val="003F332E"/>
    <w:rsid w:val="00453E3C"/>
    <w:rsid w:val="004E056D"/>
    <w:rsid w:val="00545D96"/>
    <w:rsid w:val="00560C35"/>
    <w:rsid w:val="005645C9"/>
    <w:rsid w:val="00584CCB"/>
    <w:rsid w:val="005C5345"/>
    <w:rsid w:val="005E48D4"/>
    <w:rsid w:val="005F01ED"/>
    <w:rsid w:val="00706E48"/>
    <w:rsid w:val="007105C7"/>
    <w:rsid w:val="00733CC7"/>
    <w:rsid w:val="007C5DFE"/>
    <w:rsid w:val="007D6E35"/>
    <w:rsid w:val="00840EDA"/>
    <w:rsid w:val="00886606"/>
    <w:rsid w:val="008E4662"/>
    <w:rsid w:val="008F7B9F"/>
    <w:rsid w:val="00923983"/>
    <w:rsid w:val="0095227D"/>
    <w:rsid w:val="00953320"/>
    <w:rsid w:val="009637FA"/>
    <w:rsid w:val="00981743"/>
    <w:rsid w:val="009A5BE3"/>
    <w:rsid w:val="009C0342"/>
    <w:rsid w:val="00A12D46"/>
    <w:rsid w:val="00A64A3A"/>
    <w:rsid w:val="00A87AF3"/>
    <w:rsid w:val="00AF0F1C"/>
    <w:rsid w:val="00B17A55"/>
    <w:rsid w:val="00BD5734"/>
    <w:rsid w:val="00BE03A1"/>
    <w:rsid w:val="00BE1645"/>
    <w:rsid w:val="00CB7045"/>
    <w:rsid w:val="00D26D86"/>
    <w:rsid w:val="00D34C01"/>
    <w:rsid w:val="00D34C5C"/>
    <w:rsid w:val="00D63337"/>
    <w:rsid w:val="00DB4D1D"/>
    <w:rsid w:val="00E022B2"/>
    <w:rsid w:val="00E141FE"/>
    <w:rsid w:val="00E6316F"/>
    <w:rsid w:val="00E9516E"/>
    <w:rsid w:val="00EC3D2A"/>
    <w:rsid w:val="00EE4401"/>
    <w:rsid w:val="00F729E0"/>
    <w:rsid w:val="00F7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177D9-1B3C-4C58-8045-32B06DE1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4</cp:revision>
  <cp:lastPrinted>2022-02-16T08:40:00Z</cp:lastPrinted>
  <dcterms:created xsi:type="dcterms:W3CDTF">2022-02-16T07:34:00Z</dcterms:created>
  <dcterms:modified xsi:type="dcterms:W3CDTF">2022-02-16T08:42:00Z</dcterms:modified>
</cp:coreProperties>
</file>